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</w:pPr>
      <w:r/>
      <w:bookmarkStart w:id="0" w:name="block-2834730"/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</w:t>
      </w:r>
      <w:bookmarkStart w:id="1" w:name="ac61422a-29c7-4a5a-957e-10d44a9a8bf8"/>
      <w:r>
        <w:rPr>
          <w:rFonts w:ascii="Times New Roman" w:hAnsi="Times New Roman"/>
          <w:b/>
          <w:color w:val="000000"/>
          <w:sz w:val="28"/>
        </w:rPr>
        <w:t xml:space="preserve">департамент образования </w:t>
      </w:r>
      <w:r>
        <w:rPr>
          <w:rFonts w:ascii="Times New Roman" w:hAnsi="Times New Roman"/>
          <w:b/>
          <w:color w:val="000000"/>
          <w:sz w:val="28"/>
        </w:rPr>
        <w:t xml:space="preserve">г</w:t>
      </w:r>
      <w:r>
        <w:rPr>
          <w:rFonts w:ascii="Times New Roman" w:hAnsi="Times New Roman"/>
          <w:b/>
          <w:color w:val="000000"/>
          <w:sz w:val="28"/>
        </w:rPr>
        <w:t xml:space="preserve"> Перми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‌‌</w:t>
      </w: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r>
        <w:rPr>
          <w:rFonts w:ascii="Times New Roman" w:hAnsi="Times New Roman"/>
          <w:b/>
          <w:color w:val="000000"/>
          <w:sz w:val="28"/>
        </w:rPr>
        <w:t xml:space="preserve">г</w:t>
      </w:r>
      <w:r>
        <w:rPr>
          <w:rFonts w:ascii="Times New Roman" w:hAnsi="Times New Roman"/>
          <w:b/>
          <w:color w:val="000000"/>
          <w:sz w:val="28"/>
        </w:rPr>
        <w:t xml:space="preserve">.П</w:t>
      </w:r>
      <w:r>
        <w:rPr>
          <w:rFonts w:ascii="Times New Roman" w:hAnsi="Times New Roman"/>
          <w:b/>
          <w:color w:val="000000"/>
          <w:sz w:val="28"/>
        </w:rPr>
        <w:t xml:space="preserve">ерми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РАССМОТРЕНО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Руководитель МО учителей ФК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Алгазина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Ю.В.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 от «31»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СОГЛАСОВАНО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Зам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.д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иректора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МАОУ "Гимназия №7"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Нечипоренко М.Н.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от «31»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Директор МАОУ "Гимназия №7"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Исхакова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Л.Н.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            от «31»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(2 вариант)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</w:rPr>
        <w:t xml:space="preserve"> 404462)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</w:t>
      </w:r>
      <w:r>
        <w:rPr>
          <w:rFonts w:ascii="Times New Roman" w:hAnsi="Times New Roman"/>
          <w:b/>
          <w:color w:val="000000"/>
          <w:sz w:val="28"/>
        </w:rPr>
        <w:t xml:space="preserve">Физическая культура» 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  <w:r/>
    </w:p>
    <w:p>
      <w:pPr>
        <w:ind w:left="120"/>
        <w:jc w:val="right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Учитель </w:t>
      </w:r>
      <w:r>
        <w:rPr>
          <w:rFonts w:ascii="Times New Roman" w:hAnsi="Times New Roman"/>
          <w:color w:val="000000"/>
          <w:sz w:val="28"/>
        </w:rPr>
        <w:t xml:space="preserve">Луковникова</w:t>
      </w:r>
      <w:r>
        <w:rPr>
          <w:rFonts w:ascii="Times New Roman" w:hAnsi="Times New Roman"/>
          <w:color w:val="000000"/>
          <w:sz w:val="28"/>
        </w:rPr>
        <w:t xml:space="preserve"> М.Н.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jc w:val="center"/>
        <w:spacing w:after="0"/>
      </w:pPr>
      <w:r/>
      <w:bookmarkStart w:id="2" w:name="a138e01f-71ee-4195-a132-95a500e7f996"/>
      <w:r/>
      <w:bookmarkStart w:id="3" w:name="_GoBack"/>
      <w:r/>
      <w:bookmarkEnd w:id="3"/>
      <w:r>
        <w:rPr>
          <w:rFonts w:ascii="Times New Roman" w:hAnsi="Times New Roman"/>
          <w:b/>
          <w:color w:val="000000"/>
          <w:sz w:val="28"/>
        </w:rPr>
        <w:t xml:space="preserve">Пермь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 xml:space="preserve">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jc w:val="both"/>
        <w:spacing w:after="0" w:line="264" w:lineRule="auto"/>
      </w:pPr>
      <w:r/>
      <w:bookmarkStart w:id="5" w:name="block-2834731"/>
      <w:r/>
      <w:bookmarkEnd w:id="0"/>
      <w:r>
        <w:rPr>
          <w:rFonts w:ascii="Times New Roman" w:hAnsi="Times New Roman"/>
          <w:b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</w:t>
      </w:r>
      <w:r>
        <w:rPr>
          <w:rFonts w:ascii="Times New Roman" w:hAnsi="Times New Roman"/>
          <w:color w:val="000000"/>
          <w:sz w:val="28"/>
        </w:rPr>
        <w:t xml:space="preserve">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</w:t>
      </w:r>
      <w:r>
        <w:rPr>
          <w:rFonts w:ascii="Times New Roman" w:hAnsi="Times New Roman"/>
          <w:color w:val="000000"/>
          <w:sz w:val="28"/>
        </w:rPr>
        <w:t xml:space="preserve">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</w:t>
      </w:r>
      <w:r>
        <w:rPr>
          <w:rFonts w:ascii="Times New Roman" w:hAnsi="Times New Roman"/>
          <w:color w:val="000000"/>
          <w:sz w:val="28"/>
        </w:rPr>
        <w:t xml:space="preserve">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</w:t>
      </w:r>
      <w:r>
        <w:rPr>
          <w:rFonts w:ascii="Times New Roman" w:hAnsi="Times New Roman"/>
          <w:color w:val="000000"/>
          <w:sz w:val="28"/>
        </w:rPr>
        <w:t xml:space="preserve">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Целью образо</w:t>
      </w:r>
      <w:r>
        <w:rPr>
          <w:rFonts w:ascii="Times New Roman" w:hAnsi="Times New Roman"/>
          <w:color w:val="000000"/>
          <w:sz w:val="28"/>
        </w:rPr>
        <w:t xml:space="preserve">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</w:t>
      </w:r>
      <w:r>
        <w:rPr>
          <w:rFonts w:ascii="Times New Roman" w:hAnsi="Times New Roman"/>
          <w:color w:val="000000"/>
          <w:sz w:val="28"/>
        </w:rPr>
        <w:t xml:space="preserve">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</w:t>
      </w:r>
      <w:r>
        <w:rPr>
          <w:rFonts w:ascii="Times New Roman" w:hAnsi="Times New Roman"/>
          <w:color w:val="000000"/>
          <w:sz w:val="28"/>
        </w:rPr>
        <w:t xml:space="preserve">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r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</w:t>
      </w:r>
      <w:r>
        <w:rPr>
          <w:rFonts w:ascii="Times New Roman" w:hAnsi="Times New Roman"/>
          <w:color w:val="000000"/>
          <w:sz w:val="28"/>
        </w:rPr>
        <w:t xml:space="preserve">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</w:t>
      </w:r>
      <w:r>
        <w:rPr>
          <w:rFonts w:ascii="Times New Roman" w:hAnsi="Times New Roman"/>
          <w:color w:val="000000"/>
          <w:sz w:val="28"/>
        </w:rPr>
        <w:t xml:space="preserve">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</w:t>
      </w:r>
      <w:r>
        <w:rPr>
          <w:rFonts w:ascii="Times New Roman" w:hAnsi="Times New Roman"/>
          <w:color w:val="000000"/>
          <w:sz w:val="28"/>
        </w:rPr>
        <w:t xml:space="preserve">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r>
        <w:rPr>
          <w:rFonts w:ascii="Times New Roman" w:hAnsi="Times New Roman"/>
          <w:color w:val="000000"/>
          <w:sz w:val="28"/>
        </w:rPr>
        <w:t xml:space="preserve">деятельностного</w:t>
      </w:r>
      <w:r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Достижение целостного развития ст</w:t>
      </w:r>
      <w:r>
        <w:rPr>
          <w:rFonts w:ascii="Times New Roman" w:hAnsi="Times New Roman"/>
          <w:color w:val="000000"/>
          <w:sz w:val="28"/>
        </w:rPr>
        <w:t xml:space="preserve">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r>
        <w:rPr>
          <w:rFonts w:ascii="Times New Roman" w:hAnsi="Times New Roman"/>
          <w:color w:val="000000"/>
          <w:sz w:val="28"/>
        </w:rPr>
        <w:t xml:space="preserve">информационный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операциональный</w:t>
      </w:r>
      <w:r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r>
        <w:rPr>
          <w:rFonts w:ascii="Times New Roman" w:hAnsi="Times New Roman"/>
          <w:color w:val="000000"/>
          <w:sz w:val="28"/>
        </w:rPr>
        <w:t xml:space="preserve">подготовки</w:t>
      </w:r>
      <w:r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 модуля «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</w:t>
      </w:r>
      <w:r>
        <w:rPr>
          <w:rFonts w:ascii="Times New Roman" w:hAnsi="Times New Roman"/>
          <w:color w:val="000000"/>
          <w:sz w:val="28"/>
        </w:rPr>
        <w:t xml:space="preserve">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r>
        <w:rPr>
          <w:rFonts w:ascii="Times New Roman" w:hAnsi="Times New Roman"/>
          <w:color w:val="000000"/>
          <w:sz w:val="28"/>
        </w:rPr>
        <w:t xml:space="preserve">Прикладно</w:t>
      </w:r>
      <w:r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</w:t>
      </w:r>
      <w:r>
        <w:rPr>
          <w:rFonts w:ascii="Times New Roman" w:hAnsi="Times New Roman"/>
          <w:color w:val="000000"/>
          <w:sz w:val="28"/>
        </w:rPr>
        <w:t xml:space="preserve">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</w:t>
      </w:r>
      <w:r>
        <w:rPr>
          <w:rFonts w:ascii="Times New Roman" w:hAnsi="Times New Roman"/>
          <w:color w:val="000000"/>
          <w:sz w:val="28"/>
        </w:rPr>
        <w:t xml:space="preserve">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r>
        <w:rPr>
          <w:rFonts w:ascii="Times New Roman" w:hAnsi="Times New Roman"/>
          <w:color w:val="000000"/>
          <w:sz w:val="28"/>
        </w:rPr>
        <w:t xml:space="preserve">метапредметные</w:t>
      </w:r>
      <w:r>
        <w:rPr>
          <w:rFonts w:ascii="Times New Roman" w:hAnsi="Times New Roman"/>
          <w:color w:val="000000"/>
          <w:sz w:val="28"/>
        </w:rPr>
        <w:t xml:space="preserve"> и предметные результаты.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  <w:r/>
    </w:p>
    <w:p>
      <w:pPr>
        <w:ind w:firstLine="600"/>
        <w:jc w:val="both"/>
        <w:spacing w:after="0" w:line="264" w:lineRule="auto"/>
        <w:sectPr>
          <w:footnotePr/>
          <w:endnotePr/>
          <w:type w:val="nextPage"/>
          <w:pgSz w:w="11906" w:h="16383" w:orient="portrait"/>
          <w:pgMar w:top="1134" w:right="850" w:bottom="1134" w:left="1276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8"/>
        </w:rPr>
        <w:t xml:space="preserve">‌</w:t>
      </w:r>
      <w:bookmarkStart w:id="6" w:name="bb146442-f527-41bf-8c2f-d7c56b2bd4b0"/>
      <w:r>
        <w:rPr>
          <w:rFonts w:ascii="Times New Roman" w:hAnsi="Times New Roman"/>
          <w:color w:val="000000"/>
          <w:sz w:val="28"/>
        </w:rPr>
        <w:t xml:space="preserve">Общее число часов для и</w:t>
      </w:r>
      <w:r>
        <w:rPr>
          <w:rFonts w:ascii="Times New Roman" w:hAnsi="Times New Roman"/>
          <w:color w:val="000000"/>
          <w:sz w:val="28"/>
        </w:rPr>
        <w:t xml:space="preserve">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>
        <w:rPr>
          <w:rFonts w:ascii="Times New Roman" w:hAnsi="Times New Roman"/>
          <w:color w:val="000000"/>
          <w:sz w:val="28"/>
        </w:rPr>
        <w:t xml:space="preserve">‌‌</w:t>
      </w:r>
      <w:bookmarkEnd w:id="5"/>
      <w:r/>
    </w:p>
    <w:p>
      <w:p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 истории возникновения физических упражнений и первых соревнований. Зарождение Олимпийских игр древности.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</w:t>
      </w:r>
      <w:r>
        <w:rPr>
          <w:rFonts w:ascii="Times New Roman" w:hAnsi="Times New Roman"/>
          <w:color w:val="000000"/>
          <w:sz w:val="28"/>
        </w:rPr>
        <w:t xml:space="preserve">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Упражнения размин</w:t>
      </w:r>
      <w:r>
        <w:rPr>
          <w:rFonts w:ascii="Times New Roman" w:hAnsi="Times New Roman"/>
          <w:color w:val="000000"/>
          <w:sz w:val="28"/>
        </w:rPr>
        <w:t xml:space="preserve">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Лыжная подготовка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r>
        <w:rPr>
          <w:rFonts w:ascii="Times New Roman" w:hAnsi="Times New Roman"/>
          <w:color w:val="000000"/>
          <w:sz w:val="28"/>
        </w:rPr>
        <w:t xml:space="preserve">двухшажным</w:t>
      </w:r>
      <w:r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r>
        <w:rPr>
          <w:rFonts w:ascii="Times New Roman" w:hAnsi="Times New Roman"/>
          <w:color w:val="000000"/>
          <w:sz w:val="28"/>
        </w:rPr>
        <w:t xml:space="preserve">положения</w:t>
      </w:r>
      <w:r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</w:t>
      </w:r>
      <w:r>
        <w:rPr>
          <w:rFonts w:ascii="Times New Roman" w:hAnsi="Times New Roman"/>
          <w:color w:val="000000"/>
          <w:sz w:val="28"/>
        </w:rPr>
        <w:t xml:space="preserve">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r>
        <w:rPr>
          <w:rFonts w:ascii="Times New Roman" w:hAnsi="Times New Roman"/>
          <w:color w:val="000000"/>
          <w:sz w:val="28"/>
        </w:rPr>
        <w:t xml:space="preserve">обеганием</w:t>
      </w:r>
      <w:r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Подвижные игры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Прикладно</w:t>
      </w:r>
      <w:r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Подготовка к соревнованиям по комплексу ГТО. Развитие основных физических каче</w:t>
      </w:r>
      <w:r>
        <w:rPr>
          <w:rFonts w:ascii="Times New Roman" w:hAnsi="Times New Roman"/>
          <w:color w:val="000000"/>
          <w:sz w:val="28"/>
        </w:rPr>
        <w:t xml:space="preserve">ств ср</w:t>
      </w:r>
      <w:r>
        <w:rPr>
          <w:rFonts w:ascii="Times New Roman" w:hAnsi="Times New Roman"/>
          <w:color w:val="000000"/>
          <w:sz w:val="28"/>
        </w:rPr>
        <w:t xml:space="preserve">едствами подвижных и спортивных игр.</w:t>
      </w:r>
      <w:r/>
    </w:p>
    <w:p>
      <w:pPr>
        <w:ind w:left="120"/>
        <w:spacing w:after="0"/>
      </w:pPr>
      <w:r/>
      <w:bookmarkStart w:id="7" w:name="_Toc137548638"/>
      <w:r/>
      <w:bookmarkEnd w:id="7"/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ФИЗИЧЕСКОЙ КУЛЬТУРЕ НА УРОВНЕ НАЧАЛЬНОГО ОБЩЕГО ОБРАЗОВАНИЯ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ind w:left="120"/>
        <w:spacing w:after="0"/>
      </w:pPr>
      <w:r/>
      <w:bookmarkStart w:id="8" w:name="_Toc137548641"/>
      <w:r/>
      <w:bookmarkEnd w:id="8"/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  <w:r/>
    </w:p>
    <w:p>
      <w:pPr>
        <w:ind w:left="120"/>
        <w:spacing w:after="0"/>
      </w:pPr>
      <w:r/>
      <w:bookmarkStart w:id="9" w:name="_Toc137548642"/>
      <w:r/>
      <w:bookmarkEnd w:id="9"/>
      <w:r/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</w:t>
      </w:r>
      <w:r>
        <w:rPr>
          <w:rFonts w:ascii="Times New Roman" w:hAnsi="Times New Roman"/>
          <w:color w:val="000000"/>
          <w:sz w:val="28"/>
        </w:rPr>
        <w:t xml:space="preserve">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0" w:name="_Toc134720971"/>
      <w:r/>
      <w:bookmarkEnd w:id="10"/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общие и отличительные признаки в передвижениях человека и животных;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признаки правильной и неправильной осанки, приводить возможные причины её нарушений.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обсуждать правила проведения подвижных игр, обосновывать объективность определения победителей.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обучению новым физическим упражнениям и развитию физических качеств;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уважительное отношение к участникам совместной игровой и соревновательной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связь между закаливающими процедурами и укреплением здоровья;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наблюдения за изменениями показателей физического развития и физических качеств, проводить процедуры их измерения.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  <w:r/>
    </w:p>
    <w:p>
      <w:pPr>
        <w:numPr>
          <w:ilvl w:val="0"/>
          <w:numId w:val="8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, воспроизводить ранее изученный материал и отвечать на вопросы в процессе учебного диалога;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, применять термины при обучении новым физическим упражнениям, развитии физических качеств;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оказывать посильную первую помощь во время занятий физической культурой.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  <w:r/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  <w:r/>
    </w:p>
    <w:p>
      <w:pPr>
        <w:ind w:left="120"/>
        <w:spacing w:after="0"/>
      </w:pPr>
      <w:r/>
      <w:bookmarkStart w:id="11" w:name="_Toc137548643"/>
      <w:r/>
      <w:bookmarkEnd w:id="11"/>
      <w:r/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 КЛАСС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r>
        <w:rPr>
          <w:rFonts w:ascii="Times New Roman" w:hAnsi="Times New Roman"/>
          <w:color w:val="000000"/>
          <w:sz w:val="28"/>
        </w:rPr>
        <w:t xml:space="preserve">двухшажным</w:t>
      </w:r>
      <w:r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Symbol" w:hAnsi="Symbol"/>
          <w:color w:val="000000"/>
          <w:sz w:val="28"/>
        </w:rPr>
        <w:t xml:space="preserve"></w:t>
      </w:r>
      <w:r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2" w:name="_Toc103687219"/>
      <w:r/>
      <w:bookmarkEnd w:id="12"/>
      <w:r/>
      <w:r/>
    </w:p>
    <w:p>
      <w:pPr>
        <w:ind w:left="927"/>
        <w:jc w:val="both"/>
        <w:spacing w:after="0" w:line="264" w:lineRule="auto"/>
      </w:pPr>
      <w:r/>
      <w:r/>
    </w:p>
    <w:p>
      <w:pPr>
        <w:ind w:left="120"/>
        <w:spacing w:after="0"/>
      </w:pPr>
      <w:r/>
      <w:bookmarkStart w:id="13" w:name="_Toc137548646"/>
      <w:r/>
      <w:bookmarkEnd w:id="13"/>
      <w:r/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Физическое развитие и его измерение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физическая культура</w:t>
            </w:r>
            <w:r/>
          </w:p>
        </w:tc>
      </w:tr>
      <w:tr>
        <w:trPr>
          <w:trHeight w:val="245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по укреплению здоровья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Индивидуальные комплексы утренней зарядки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Спортивно-оздоровительная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основами акробатики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атлетика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9" w:tooltip="https://resh.edu.ru/subject/lesson/4315/start/190548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https://resh.edu.ru/subject/lesson/4315/start/190548/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-ориентированная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23"/>
        <w:gridCol w:w="4377"/>
        <w:gridCol w:w="1245"/>
        <w:gridCol w:w="1841"/>
        <w:gridCol w:w="1910"/>
        <w:gridCol w:w="1423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техники безопасности на уроках физической культуры. История подвижных игр и соревнований у древних народов.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Зарождение Олимпийских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лияние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упр-ий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здоровье человека.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0" w:tooltip="https://resh.edu.ru/subject/lesson/5129/start/190521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https://resh.edu.ru/subject/lesson/5129/start/190521/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Олимпийские игры. Строевые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упр-ия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построения в шеренгу, в колонну.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еговая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змейка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качества. Бег коротким, средним и длинным шагом. Понятие «короткая дистанция». Бег на скорость.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физическое качество. Сгибание разгибание рук в упоре лёжа. Подвижная игра "Охотники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утки"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Быстрота как физическое качество. Тестирование бега на 30м с максимальной скоростью с высокого старта.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качество. Бег в чередовании с ходьбой до 500м.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Гибкость как физическое качество. Встречные эстафеты.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координации движений. Метание малого мяча на дальность и меткость.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координации движений. Метание малого мяча на дальность и меткость.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Дневник наблюдений по физической культуре. Челночный бег 3х10м.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организма. Прыжки с продвижением вперед.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1" w:tooltip="https://resh.edu.ru/subject/lesson/6010/start/190575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https://resh.edu.ru/subject/lesson/6010/start/190575/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Утренняя зарядка. Прыжок в длину с места и тестирование прыжка в длину с места 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комплекса утренней зарядки. Прыжок в длину с места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тестирование прыжка в длину с места 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приёмами спортивных игр.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приёмами баскетбола.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приёмами баскетбола.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баскетбола: мяч среднему и мяч соседу.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2" w:tooltip="https://resh.edu.ru/subject/lesson/5130/start/224117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https://resh.edu.ru/subject/lesson/5130/start/224117/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баскетбола: мяч среднему и мяч соседу.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колонне и неудобный бросок.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 "волна" в баскетболе. Эстафеты с элементами баскетбола.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 гимнастики. Размыкание в шеренге и колонне на месте. Повороты на месте налево и направо. ОРУ с гимнастическими палками. Игра «Совушка».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упражнения. 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растягивание, гибкость, внимание.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гимнастической палкой.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гимнастическим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гимнастическим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гимнастические 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гимнастические 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по гимнастической скамейке, по бревну.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по гимнастической скамейке, по бревну.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Произвольное преодоление простых препятствий.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Произвольное преодоление простых препятствий.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Висы на перекладине. Подвижные игры.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3" w:tooltip="https://resh.edu.ru/subject/lesson/6160/start/223981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https://resh.edu.ru/subject/lesson/6160/start/223981/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Висы на перекладине и канате.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прикладной гимнастики. Переноска.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Акробатика. Группировка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лежа, перекаты назад из седа в группировке и обратно.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Акробатика. Группировка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лежа, перекаты назад из седа в группировке и обратно.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hyperlink r:id="rId14" w:tooltip="https://resh.edu.ru/subject/lesson/6171/start/191462/" w:history="1">
              <w:r>
                <w:rPr>
                  <w:rStyle w:val="173"/>
                  <w:rFonts w:ascii="Times New Roman" w:hAnsi="Times New Roman"/>
                  <w:sz w:val="24"/>
                </w:rPr>
                <w:t xml:space="preserve">https://resh.edu.ru/subject/lesson/6171/start/191462/</w:t>
              </w:r>
              <w:r>
                <w:rPr>
                  <w:rStyle w:val="173"/>
                  <w:rFonts w:ascii="Times New Roman" w:hAnsi="Times New Roman"/>
                  <w:sz w:val="24"/>
                </w:rPr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Акробатика. Группировка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лежа, перекаты назад из седа в группировке и обратно.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 с гимнастической скакалкой. О.Р.У. Прыжки, подвижные игры со скакалкой.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 с гимнастической скакалкой. Прыжки, составление прыжковой комбинации.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шаги. Преодоление полосы препятствий с элементами лазания,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перелезания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переползания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по гимнастической скамейке, по бревну. Гимнастическая полоса препятствий.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координацию, внимание и ловкость. Гимнастическая полоса препятствий.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упражнения. Подвижные игры с элементами гимнастики.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на уроках лыжной подготовки. Организующие команды и приемы на уроках лыжной подготовки.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ступающим шагом без палок.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приёмами футбола: метко в цель.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скользящим шагом без палок. Игра «Салки на марше».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скользящим шагом с палами. Игра «Салки на марше».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приёмами футбола: метко в цель.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попеременно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двухшажным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ходом. Подъём "лесенкой"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по дистанции попеременно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двухшажным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ходом. Подъём "лесенкой"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приёмами футбола: метко в цель.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Подъём "лесенкой" Спуск в основной стойке.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Подъём "лесенкой" Спуск в основной стойке.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Гонка мячей и слалом с мячом.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Прохождение дистанции слабой интенсивности удобным способом.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месте.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Гонка мячей и слалом с мячом. Эстафеты с элементами футбола.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на лыжах. Повороты в движении.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на лыжах. Повороты в движении.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бросок ногой. Подвижные игры с элементами футбола.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до 1 км. Развитие выносливости. Торможение.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бильярд.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в режиме умеренной интенсивности.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эстафета. Правила проведения.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на развитие равновесия.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до 1 км. Развитие выносливости.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до 1 км. Развитие выносливости.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на развитие равновесия.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лыжной подготовки.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Пеший поход по пересечённой местности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2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техники безопасности на уроках. Укрепление здоровья через ВФСК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ГТО. Смешанное передвижение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Бег. 1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«Праздник ГТО». Соревнования со сдачей норм ГТО, с соблюдением правил и техники выполнения испытаний (тестов) 2 ступени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«Праздник ГТО». Соревнования со сдачей норм ГТО, с соблюдением правил и техники выполнения испытаний (тестов) 2 ступени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2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6"/>
    <w:next w:val="62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2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6"/>
    <w:next w:val="62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2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6"/>
    <w:next w:val="62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2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6"/>
    <w:next w:val="62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2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6"/>
    <w:next w:val="62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2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6"/>
    <w:next w:val="62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2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6"/>
    <w:next w:val="62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2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6"/>
    <w:next w:val="62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2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6"/>
    <w:next w:val="62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2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6"/>
    <w:next w:val="62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27"/>
    <w:link w:val="33"/>
    <w:uiPriority w:val="10"/>
    <w:rPr>
      <w:sz w:val="48"/>
      <w:szCs w:val="48"/>
    </w:rPr>
  </w:style>
  <w:style w:type="paragraph" w:styleId="35">
    <w:name w:val="Subtitle"/>
    <w:basedOn w:val="626"/>
    <w:next w:val="62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27"/>
    <w:link w:val="35"/>
    <w:uiPriority w:val="11"/>
    <w:rPr>
      <w:sz w:val="24"/>
      <w:szCs w:val="24"/>
    </w:rPr>
  </w:style>
  <w:style w:type="paragraph" w:styleId="37">
    <w:name w:val="Quote"/>
    <w:basedOn w:val="626"/>
    <w:next w:val="62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6"/>
    <w:next w:val="62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27"/>
    <w:link w:val="41"/>
    <w:uiPriority w:val="99"/>
  </w:style>
  <w:style w:type="paragraph" w:styleId="43">
    <w:name w:val="Footer"/>
    <w:basedOn w:val="62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27"/>
    <w:link w:val="43"/>
    <w:uiPriority w:val="99"/>
  </w:style>
  <w:style w:type="paragraph" w:styleId="45">
    <w:name w:val="Caption"/>
    <w:basedOn w:val="626"/>
    <w:next w:val="6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27"/>
    <w:uiPriority w:val="99"/>
    <w:unhideWhenUsed/>
    <w:rPr>
      <w:vertAlign w:val="superscript"/>
    </w:rPr>
  </w:style>
  <w:style w:type="paragraph" w:styleId="177">
    <w:name w:val="endnote text"/>
    <w:basedOn w:val="62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7"/>
    <w:uiPriority w:val="99"/>
    <w:semiHidden/>
    <w:unhideWhenUsed/>
    <w:rPr>
      <w:vertAlign w:val="superscript"/>
    </w:rPr>
  </w:style>
  <w:style w:type="paragraph" w:styleId="180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26" w:default="1">
    <w:name w:val="Normal"/>
    <w:qFormat/>
    <w:rPr>
      <w:rFonts w:eastAsiaTheme="minorEastAsia"/>
      <w:lang w:eastAsia="ru-RU"/>
    </w:rPr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esh.edu.ru/subject/lesson/4315/start/190548/" TargetMode="External"/><Relationship Id="rId10" Type="http://schemas.openxmlformats.org/officeDocument/2006/relationships/hyperlink" Target="https://resh.edu.ru/subject/lesson/5129/start/190521/" TargetMode="External"/><Relationship Id="rId11" Type="http://schemas.openxmlformats.org/officeDocument/2006/relationships/hyperlink" Target="https://resh.edu.ru/subject/lesson/6010/start/190575/" TargetMode="External"/><Relationship Id="rId12" Type="http://schemas.openxmlformats.org/officeDocument/2006/relationships/hyperlink" Target="https://resh.edu.ru/subject/lesson/5130/start/224117/" TargetMode="External"/><Relationship Id="rId13" Type="http://schemas.openxmlformats.org/officeDocument/2006/relationships/hyperlink" Target="https://resh.edu.ru/subject/lesson/6160/start/223981/" TargetMode="External"/><Relationship Id="rId14" Type="http://schemas.openxmlformats.org/officeDocument/2006/relationships/hyperlink" Target="https://resh.edu.ru/subject/lesson/6171/start/191462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maia201999@outlook.com</dc:creator>
  <cp:revision>4</cp:revision>
  <dcterms:created xsi:type="dcterms:W3CDTF">2023-08-31T03:31:00Z</dcterms:created>
  <dcterms:modified xsi:type="dcterms:W3CDTF">2023-08-31T11:22:09Z</dcterms:modified>
</cp:coreProperties>
</file>