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</w:pPr>
      <w:r/>
      <w:bookmarkStart w:id="0" w:name="block-2834730"/>
      <w:r>
        <w:rPr>
          <w:rFonts w:ascii="Times New Roman" w:hAnsi="Times New Roman"/>
          <w:b/>
          <w:color w:val="000000"/>
          <w:sz w:val="28"/>
        </w:rPr>
        <w:t xml:space="preserve">МИНИСТЕРСТВО ПРОСВЕЩЕНИЯ РОССИЙСКОЙ ФЕДЕРАЦИИ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‌</w:t>
      </w:r>
      <w:bookmarkStart w:id="1" w:name="ac61422a-29c7-4a5a-957e-10d44a9a8bf8"/>
      <w:r>
        <w:rPr>
          <w:rFonts w:ascii="Times New Roman" w:hAnsi="Times New Roman"/>
          <w:b/>
          <w:color w:val="000000"/>
          <w:sz w:val="28"/>
        </w:rPr>
        <w:t xml:space="preserve">департамент образования </w:t>
      </w:r>
      <w:r>
        <w:rPr>
          <w:rFonts w:ascii="Times New Roman" w:hAnsi="Times New Roman"/>
          <w:b/>
          <w:color w:val="000000"/>
          <w:sz w:val="28"/>
        </w:rPr>
        <w:t xml:space="preserve">г</w:t>
      </w:r>
      <w:r>
        <w:rPr>
          <w:rFonts w:ascii="Times New Roman" w:hAnsi="Times New Roman"/>
          <w:b/>
          <w:color w:val="000000"/>
          <w:sz w:val="28"/>
        </w:rPr>
        <w:t xml:space="preserve"> Перми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‌‌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МАОУ "Гимназия № 7" </w:t>
      </w:r>
      <w:r>
        <w:rPr>
          <w:rFonts w:ascii="Times New Roman" w:hAnsi="Times New Roman"/>
          <w:b/>
          <w:color w:val="000000"/>
          <w:sz w:val="28"/>
        </w:rPr>
        <w:t xml:space="preserve">г</w:t>
      </w:r>
      <w:r>
        <w:rPr>
          <w:rFonts w:ascii="Times New Roman" w:hAnsi="Times New Roman"/>
          <w:b/>
          <w:color w:val="000000"/>
          <w:sz w:val="28"/>
        </w:rPr>
        <w:t xml:space="preserve">.П</w:t>
      </w:r>
      <w:r>
        <w:rPr>
          <w:rFonts w:ascii="Times New Roman" w:hAnsi="Times New Roman"/>
          <w:b/>
          <w:color w:val="000000"/>
          <w:sz w:val="28"/>
        </w:rPr>
        <w:t xml:space="preserve">ерми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РАССМОТРЕНО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Руководитель МО учителей ФК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Алгазина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Ю.В.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           от «31»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СОГЛАСОВАНО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Зам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.д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иректора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МАОУ "Гимназия №7"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Нечипоренко М.Н.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          от «31»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УТВЕРЖДЕНО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Директор МАОУ "Гимназия №7"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Исхакова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Л.Н.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/>
            <w:bookmarkStart w:id="2" w:name="_GoBack"/>
            <w:r/>
            <w:bookmarkEnd w:id="2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Приказ№ 059-08/28-01-02/4-109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от «31»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left="120"/>
        <w:spacing w:after="0"/>
      </w:pPr>
      <w:r/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‌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РАБОЧАЯ ПРОГРАММА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color w:val="000000"/>
          <w:sz w:val="28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ID</w:t>
      </w:r>
      <w:r>
        <w:rPr>
          <w:rFonts w:ascii="Times New Roman" w:hAnsi="Times New Roman"/>
          <w:color w:val="000000"/>
          <w:sz w:val="28"/>
        </w:rPr>
        <w:t xml:space="preserve"> 404462)</w:t>
      </w:r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«</w:t>
      </w:r>
      <w:r>
        <w:rPr>
          <w:rFonts w:ascii="Times New Roman" w:hAnsi="Times New Roman"/>
          <w:b/>
          <w:color w:val="000000"/>
          <w:sz w:val="28"/>
        </w:rPr>
        <w:t xml:space="preserve">Физическая культура» 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>
        <w:rPr>
          <w:rFonts w:ascii="Times New Roman" w:hAnsi="Times New Roman"/>
          <w:color w:val="000000"/>
          <w:sz w:val="28"/>
        </w:rPr>
        <w:t xml:space="preserve">​</w:t>
      </w:r>
      <w:bookmarkStart w:id="3" w:name="a138e01f-71ee-4195-a132-95a500e7f996"/>
      <w:r>
        <w:rPr>
          <w:rFonts w:ascii="Times New Roman" w:hAnsi="Times New Roman"/>
          <w:b/>
          <w:color w:val="000000"/>
          <w:sz w:val="28"/>
        </w:rPr>
        <w:t xml:space="preserve">Пермь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a612539e-b3c8-455e-88a4-bebacddb4762"/>
      <w:r>
        <w:rPr>
          <w:rFonts w:ascii="Times New Roman" w:hAnsi="Times New Roman"/>
          <w:b/>
          <w:color w:val="000000"/>
          <w:sz w:val="28"/>
        </w:rPr>
        <w:t xml:space="preserve">2023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jc w:val="both"/>
        <w:spacing w:after="0" w:line="264" w:lineRule="auto"/>
      </w:pPr>
      <w:r/>
      <w:bookmarkStart w:id="5" w:name="block-2834731"/>
      <w:r/>
      <w:bookmarkEnd w:id="0"/>
      <w:r>
        <w:rPr>
          <w:rFonts w:ascii="Times New Roman" w:hAnsi="Times New Roman"/>
          <w:b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</w:t>
      </w:r>
      <w:r>
        <w:rPr>
          <w:rFonts w:ascii="Times New Roman" w:hAnsi="Times New Roman"/>
          <w:color w:val="000000"/>
          <w:sz w:val="28"/>
        </w:rPr>
        <w:t xml:space="preserve">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</w:t>
      </w:r>
      <w:r>
        <w:rPr>
          <w:rFonts w:ascii="Times New Roman" w:hAnsi="Times New Roman"/>
          <w:color w:val="000000"/>
          <w:sz w:val="28"/>
        </w:rPr>
        <w:t xml:space="preserve">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</w:t>
      </w:r>
      <w:r>
        <w:rPr>
          <w:rFonts w:ascii="Times New Roman" w:hAnsi="Times New Roman"/>
          <w:color w:val="000000"/>
          <w:sz w:val="28"/>
        </w:rPr>
        <w:t xml:space="preserve">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</w:t>
      </w:r>
      <w:r>
        <w:rPr>
          <w:rFonts w:ascii="Times New Roman" w:hAnsi="Times New Roman"/>
          <w:color w:val="000000"/>
          <w:sz w:val="28"/>
        </w:rPr>
        <w:t xml:space="preserve">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Целью образо</w:t>
      </w:r>
      <w:r>
        <w:rPr>
          <w:rFonts w:ascii="Times New Roman" w:hAnsi="Times New Roman"/>
          <w:color w:val="000000"/>
          <w:sz w:val="28"/>
        </w:rPr>
        <w:t xml:space="preserve">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</w:t>
      </w:r>
      <w:r>
        <w:rPr>
          <w:rFonts w:ascii="Times New Roman" w:hAnsi="Times New Roman"/>
          <w:color w:val="000000"/>
          <w:sz w:val="28"/>
        </w:rPr>
        <w:t xml:space="preserve">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r>
        <w:rPr>
          <w:rFonts w:ascii="Times New Roman" w:hAnsi="Times New Roman"/>
          <w:color w:val="000000"/>
          <w:sz w:val="28"/>
        </w:rPr>
        <w:t xml:space="preserve">прикладно</w:t>
      </w:r>
      <w:r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Разв</w:t>
      </w:r>
      <w:r>
        <w:rPr>
          <w:rFonts w:ascii="Times New Roman" w:hAnsi="Times New Roman"/>
          <w:color w:val="000000"/>
          <w:sz w:val="28"/>
        </w:rPr>
        <w:t xml:space="preserve">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r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</w:t>
      </w:r>
      <w:r>
        <w:rPr>
          <w:rFonts w:ascii="Times New Roman" w:hAnsi="Times New Roman"/>
          <w:color w:val="000000"/>
          <w:sz w:val="28"/>
        </w:rPr>
        <w:t xml:space="preserve">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</w:t>
      </w:r>
      <w:r>
        <w:rPr>
          <w:rFonts w:ascii="Times New Roman" w:hAnsi="Times New Roman"/>
          <w:color w:val="000000"/>
          <w:sz w:val="28"/>
        </w:rPr>
        <w:t xml:space="preserve">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</w:t>
      </w:r>
      <w:r>
        <w:rPr>
          <w:rFonts w:ascii="Times New Roman" w:hAnsi="Times New Roman"/>
          <w:color w:val="000000"/>
          <w:sz w:val="28"/>
        </w:rPr>
        <w:t xml:space="preserve">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r>
        <w:rPr>
          <w:rFonts w:ascii="Times New Roman" w:hAnsi="Times New Roman"/>
          <w:color w:val="000000"/>
          <w:sz w:val="28"/>
        </w:rPr>
        <w:t xml:space="preserve">деятельностного</w:t>
      </w:r>
      <w:r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. Достижение целостного развития ст</w:t>
      </w:r>
      <w:r>
        <w:rPr>
          <w:rFonts w:ascii="Times New Roman" w:hAnsi="Times New Roman"/>
          <w:color w:val="000000"/>
          <w:sz w:val="28"/>
        </w:rPr>
        <w:t xml:space="preserve">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r>
        <w:rPr>
          <w:rFonts w:ascii="Times New Roman" w:hAnsi="Times New Roman"/>
          <w:color w:val="000000"/>
          <w:sz w:val="28"/>
        </w:rPr>
        <w:t xml:space="preserve">информационный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операциональный</w:t>
      </w:r>
      <w:r>
        <w:rPr>
          <w:rFonts w:ascii="Times New Roman" w:hAnsi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r>
        <w:rPr>
          <w:rFonts w:ascii="Times New Roman" w:hAnsi="Times New Roman"/>
          <w:color w:val="000000"/>
          <w:sz w:val="28"/>
        </w:rPr>
        <w:t xml:space="preserve">подготовки</w:t>
      </w:r>
      <w:r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r>
        <w:rPr>
          <w:rFonts w:ascii="Times New Roman" w:hAnsi="Times New Roman"/>
          <w:color w:val="000000"/>
          <w:sz w:val="28"/>
        </w:rPr>
        <w:t xml:space="preserve">Прикладно</w:t>
      </w:r>
      <w:r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Содержание модуля «</w:t>
      </w:r>
      <w:r>
        <w:rPr>
          <w:rFonts w:ascii="Times New Roman" w:hAnsi="Times New Roman"/>
          <w:color w:val="000000"/>
          <w:sz w:val="28"/>
        </w:rPr>
        <w:t xml:space="preserve">Прикладно</w:t>
      </w:r>
      <w:r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обеспечивается программами по видам спорта, которые могут использоваться образо</w:t>
      </w:r>
      <w:r>
        <w:rPr>
          <w:rFonts w:ascii="Times New Roman" w:hAnsi="Times New Roman"/>
          <w:color w:val="000000"/>
          <w:sz w:val="28"/>
        </w:rPr>
        <w:t xml:space="preserve">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r>
        <w:rPr>
          <w:rFonts w:ascii="Times New Roman" w:hAnsi="Times New Roman"/>
          <w:color w:val="000000"/>
          <w:sz w:val="28"/>
        </w:rPr>
        <w:t xml:space="preserve">Прикладно</w:t>
      </w:r>
      <w:r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и включать в него популярные </w:t>
      </w:r>
      <w:r>
        <w:rPr>
          <w:rFonts w:ascii="Times New Roman" w:hAnsi="Times New Roman"/>
          <w:color w:val="000000"/>
          <w:sz w:val="28"/>
        </w:rPr>
        <w:t xml:space="preserve">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Содержание</w:t>
      </w:r>
      <w:r>
        <w:rPr>
          <w:rFonts w:ascii="Times New Roman" w:hAnsi="Times New Roman"/>
          <w:color w:val="000000"/>
          <w:sz w:val="28"/>
        </w:rPr>
        <w:t xml:space="preserve">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r>
        <w:rPr>
          <w:rFonts w:ascii="Times New Roman" w:hAnsi="Times New Roman"/>
          <w:color w:val="000000"/>
          <w:sz w:val="28"/>
        </w:rPr>
        <w:t xml:space="preserve">метапредметные</w:t>
      </w:r>
      <w:r>
        <w:rPr>
          <w:rFonts w:ascii="Times New Roman" w:hAnsi="Times New Roman"/>
          <w:color w:val="000000"/>
          <w:sz w:val="28"/>
        </w:rPr>
        <w:t xml:space="preserve"> и предметные результаты.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r>
        <w:rPr>
          <w:rFonts w:ascii="Times New Roman" w:hAnsi="Times New Roman"/>
          <w:color w:val="000000"/>
          <w:sz w:val="28"/>
        </w:rPr>
        <w:t xml:space="preserve">обучающимися</w:t>
      </w:r>
      <w:r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  <w:r/>
    </w:p>
    <w:p>
      <w:pPr>
        <w:ind w:firstLine="600"/>
        <w:jc w:val="both"/>
        <w:spacing w:after="0" w:line="264" w:lineRule="auto"/>
        <w:sectPr>
          <w:footnotePr/>
          <w:endnotePr/>
          <w:type w:val="nextPage"/>
          <w:pgSz w:w="11906" w:h="16383" w:orient="portrait"/>
          <w:pgMar w:top="1134" w:right="850" w:bottom="1134" w:left="1276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000000"/>
          <w:sz w:val="28"/>
        </w:rPr>
        <w:t xml:space="preserve">‌</w:t>
      </w:r>
      <w:bookmarkStart w:id="6" w:name="bb146442-f527-41bf-8c2f-d7c56b2bd4b0"/>
      <w:r>
        <w:rPr>
          <w:rFonts w:ascii="Times New Roman" w:hAnsi="Times New Roman"/>
          <w:color w:val="000000"/>
          <w:sz w:val="28"/>
        </w:rPr>
        <w:t xml:space="preserve">Общее число часов для и</w:t>
      </w:r>
      <w:r>
        <w:rPr>
          <w:rFonts w:ascii="Times New Roman" w:hAnsi="Times New Roman"/>
          <w:color w:val="000000"/>
          <w:sz w:val="28"/>
        </w:rPr>
        <w:t xml:space="preserve">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r>
        <w:rPr>
          <w:rFonts w:ascii="Times New Roman" w:hAnsi="Times New Roman"/>
          <w:color w:val="000000"/>
          <w:sz w:val="28"/>
        </w:rPr>
        <w:t xml:space="preserve">‌‌</w:t>
      </w:r>
      <w:bookmarkEnd w:id="5"/>
      <w:r/>
    </w:p>
    <w:p>
      <w:p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4 КЛАСС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</w:t>
      </w:r>
      <w:r>
        <w:rPr>
          <w:rFonts w:ascii="Times New Roman" w:hAnsi="Times New Roman"/>
          <w:color w:val="000000"/>
          <w:sz w:val="28"/>
        </w:rPr>
        <w:t xml:space="preserve">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</w:t>
      </w:r>
      <w:r>
        <w:rPr>
          <w:rFonts w:ascii="Times New Roman" w:hAnsi="Times New Roman"/>
          <w:color w:val="000000"/>
          <w:sz w:val="28"/>
        </w:rPr>
        <w:t xml:space="preserve">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Гимнастика с основами акробатики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r>
        <w:rPr>
          <w:rFonts w:ascii="Times New Roman" w:hAnsi="Times New Roman"/>
          <w:color w:val="000000"/>
          <w:sz w:val="28"/>
        </w:rPr>
        <w:t xml:space="preserve">напрыгивания</w:t>
      </w:r>
      <w:r>
        <w:rPr>
          <w:rFonts w:ascii="Times New Roman" w:hAnsi="Times New Roman"/>
          <w:color w:val="000000"/>
          <w:sz w:val="28"/>
        </w:rPr>
        <w:t xml:space="preserve">. Упражнения на низкой гимнастической перекладине: висы и упоры, подъём переворотом. Упражнения в танце «Летка-</w:t>
      </w:r>
      <w:r>
        <w:rPr>
          <w:rFonts w:ascii="Times New Roman" w:hAnsi="Times New Roman"/>
          <w:color w:val="000000"/>
          <w:sz w:val="28"/>
        </w:rPr>
        <w:t xml:space="preserve">енка</w:t>
      </w:r>
      <w:r>
        <w:rPr>
          <w:rFonts w:ascii="Times New Roman" w:hAnsi="Times New Roman"/>
          <w:color w:val="000000"/>
          <w:sz w:val="28"/>
        </w:rPr>
        <w:t xml:space="preserve">».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Лёгкая атлетика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r>
        <w:rPr>
          <w:rFonts w:ascii="Times New Roman" w:hAnsi="Times New Roman"/>
          <w:color w:val="000000"/>
          <w:sz w:val="28"/>
        </w:rPr>
        <w:t xml:space="preserve">дальность</w:t>
      </w:r>
      <w:r>
        <w:rPr>
          <w:rFonts w:ascii="Times New Roman" w:hAnsi="Times New Roman"/>
          <w:color w:val="000000"/>
          <w:sz w:val="28"/>
        </w:rPr>
        <w:t xml:space="preserve"> стоя на месте.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Лыжная подготовка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Подвижные и спортивные игры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</w:t>
      </w:r>
      <w:r>
        <w:rPr>
          <w:rFonts w:ascii="Times New Roman" w:hAnsi="Times New Roman"/>
          <w:color w:val="000000"/>
          <w:sz w:val="28"/>
        </w:rPr>
        <w:t xml:space="preserve">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Прикладно</w:t>
      </w:r>
      <w:r>
        <w:rPr>
          <w:rFonts w:ascii="Times New Roman" w:hAnsi="Times New Roman"/>
          <w:color w:val="000000"/>
          <w:sz w:val="28"/>
        </w:rPr>
        <w:t xml:space="preserve">-ориентированная физическая культура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Упражнения физической подготовки на развитие основных физических качеств. Подготовка к выполнению нормативных требований комплекса ГТО.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jc w:val="both"/>
        <w:spacing w:after="0" w:line="264" w:lineRule="auto"/>
      </w:pPr>
      <w:r/>
      <w:bookmarkStart w:id="7" w:name="_Toc137548640"/>
      <w:r/>
      <w:bookmarkEnd w:id="7"/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ПРОГРАММЫ ПО ФИЗИЧЕСКОЙ КУЛЬТУРЕ НА УРОВНЕ НАЧАЛЬНОГО ОБЩЕГО ОБРАЗОВАНИЯ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/>
    </w:p>
    <w:p>
      <w:pPr>
        <w:ind w:left="120"/>
        <w:spacing w:after="0"/>
      </w:pPr>
      <w:r/>
      <w:bookmarkStart w:id="8" w:name="_Toc137548641"/>
      <w:r/>
      <w:bookmarkEnd w:id="8"/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  <w:color w:val="000000"/>
          <w:sz w:val="28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r>
        <w:rPr>
          <w:rFonts w:ascii="Times New Roman" w:hAnsi="Times New Roman"/>
          <w:color w:val="000000"/>
          <w:sz w:val="28"/>
        </w:rPr>
        <w:t xml:space="preserve">у</w:t>
      </w:r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  <w:r/>
    </w:p>
    <w:p>
      <w:pPr>
        <w:ind w:left="120"/>
        <w:spacing w:after="0"/>
      </w:pPr>
      <w:r/>
      <w:bookmarkStart w:id="9" w:name="_Toc137548642"/>
      <w:r/>
      <w:bookmarkEnd w:id="9"/>
      <w:r/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МЕТАПРЕДМЕТНЫЕ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0" w:name="_Toc134720971"/>
      <w:r/>
      <w:bookmarkEnd w:id="10"/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общие и отличительные признаки в передвижениях человека и животных;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признаки правильной и неправильной осанки, приводить возможные причины её нарушений.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обсуждать правила проведения подвижных игр, обосновывать объективность определения победителей.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учебные задания по обучению новым физическим упражнениям и развитию физических качеств;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проявлять уважительное отношение к участникам совместной игровой и соревновательной деятельности.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связь между закаливающими процедурами и укреплением здоровья;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вести наблюдения за изменениями показателей физического развития и физических качеств, проводить процедуры их измерения.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r/>
    </w:p>
    <w:p>
      <w:pPr>
        <w:numPr>
          <w:ilvl w:val="0"/>
          <w:numId w:val="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  <w:r/>
    </w:p>
    <w:p>
      <w:pPr>
        <w:numPr>
          <w:ilvl w:val="0"/>
          <w:numId w:val="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  <w:r/>
    </w:p>
    <w:p>
      <w:pPr>
        <w:numPr>
          <w:ilvl w:val="0"/>
          <w:numId w:val="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  <w:r/>
    </w:p>
    <w:p>
      <w:pPr>
        <w:numPr>
          <w:ilvl w:val="0"/>
          <w:numId w:val="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  <w:r/>
    </w:p>
    <w:p>
      <w:pPr>
        <w:numPr>
          <w:ilvl w:val="0"/>
          <w:numId w:val="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  <w:r/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  <w:r/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  <w:r/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  <w:r/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  <w:r/>
    </w:p>
    <w:p>
      <w:pPr>
        <w:numPr>
          <w:ilvl w:val="0"/>
          <w:numId w:val="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  <w:r/>
    </w:p>
    <w:p>
      <w:pPr>
        <w:numPr>
          <w:ilvl w:val="0"/>
          <w:numId w:val="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  <w:r/>
    </w:p>
    <w:p>
      <w:pPr>
        <w:numPr>
          <w:ilvl w:val="0"/>
          <w:numId w:val="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0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  <w:r/>
    </w:p>
    <w:p>
      <w:pPr>
        <w:numPr>
          <w:ilvl w:val="0"/>
          <w:numId w:val="10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  <w:r/>
    </w:p>
    <w:p>
      <w:pPr>
        <w:numPr>
          <w:ilvl w:val="0"/>
          <w:numId w:val="10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1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  <w:r/>
    </w:p>
    <w:p>
      <w:pPr>
        <w:numPr>
          <w:ilvl w:val="0"/>
          <w:numId w:val="1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  <w:r/>
    </w:p>
    <w:p>
      <w:pPr>
        <w:numPr>
          <w:ilvl w:val="0"/>
          <w:numId w:val="1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r>
        <w:rPr>
          <w:rFonts w:ascii="Times New Roman" w:hAnsi="Times New Roman"/>
          <w:color w:val="000000"/>
          <w:sz w:val="28"/>
        </w:rPr>
        <w:t xml:space="preserve">обучающимися</w:t>
      </w:r>
      <w:r>
        <w:rPr>
          <w:rFonts w:ascii="Times New Roman" w:hAnsi="Times New Roman"/>
          <w:color w:val="000000"/>
          <w:sz w:val="28"/>
        </w:rPr>
        <w:t xml:space="preserve">, воспроизводить ранее изученный материал и отвечать на вопросы в процессе учебного диалога;</w:t>
      </w:r>
      <w:r/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r>
        <w:rPr>
          <w:rFonts w:ascii="Times New Roman" w:hAnsi="Times New Roman"/>
          <w:color w:val="000000"/>
          <w:sz w:val="28"/>
        </w:rPr>
        <w:t xml:space="preserve">обучающимися</w:t>
      </w:r>
      <w:r>
        <w:rPr>
          <w:rFonts w:ascii="Times New Roman" w:hAnsi="Times New Roman"/>
          <w:color w:val="000000"/>
          <w:sz w:val="28"/>
        </w:rPr>
        <w:t xml:space="preserve">, применять термины при обучении новым физическим упражнениям, развитии физических качеств;</w:t>
      </w:r>
      <w:r/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оказывать посильную первую помощь во время занятий физической культурой.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  <w:r/>
    </w:p>
    <w:p>
      <w:pPr>
        <w:numPr>
          <w:ilvl w:val="0"/>
          <w:numId w:val="1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  <w:r/>
    </w:p>
    <w:p>
      <w:pPr>
        <w:ind w:left="120"/>
        <w:spacing w:after="0"/>
      </w:pPr>
      <w:r/>
      <w:bookmarkStart w:id="11" w:name="_Toc137548643"/>
      <w:r/>
      <w:bookmarkEnd w:id="11"/>
      <w:r/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spacing w:after="0"/>
      </w:pPr>
      <w:r/>
      <w:bookmarkStart w:id="12" w:name="_Toc137548644"/>
      <w:r/>
      <w:bookmarkEnd w:id="12"/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4 КЛАСС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</w:t>
      </w:r>
      <w:r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r>
        <w:rPr>
          <w:rFonts w:ascii="Times New Roman" w:hAnsi="Times New Roman"/>
          <w:color w:val="000000"/>
          <w:sz w:val="28"/>
        </w:rPr>
        <w:t xml:space="preserve">сердечно-сосудистой</w:t>
      </w:r>
      <w:r>
        <w:rPr>
          <w:rFonts w:ascii="Times New Roman" w:hAnsi="Times New Roman"/>
          <w:color w:val="000000"/>
          <w:sz w:val="28"/>
        </w:rPr>
        <w:t xml:space="preserve"> и дыхательной систем;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</w:t>
      </w:r>
      <w:r>
        <w:rPr>
          <w:rFonts w:ascii="Times New Roman" w:hAnsi="Times New Roman"/>
          <w:color w:val="000000"/>
          <w:sz w:val="28"/>
        </w:rPr>
        <w:t xml:space="preserve">атлетикой, лыжной </w:t>
      </w:r>
      <w:r>
        <w:rPr>
          <w:rFonts w:ascii="Times New Roman" w:hAnsi="Times New Roman"/>
          <w:color w:val="000000"/>
          <w:sz w:val="28"/>
        </w:rPr>
        <w:t xml:space="preserve"> подготовкой;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проявлять готовность оказать первую помощь в случае необходимости;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r>
        <w:rPr>
          <w:rFonts w:ascii="Times New Roman" w:hAnsi="Times New Roman"/>
          <w:color w:val="000000"/>
          <w:sz w:val="28"/>
        </w:rPr>
        <w:t xml:space="preserve">напрыгивания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движения танца «Летка-</w:t>
      </w:r>
      <w:r>
        <w:rPr>
          <w:rFonts w:ascii="Times New Roman" w:hAnsi="Times New Roman"/>
          <w:color w:val="000000"/>
          <w:sz w:val="28"/>
        </w:rPr>
        <w:t xml:space="preserve">енка</w:t>
      </w:r>
      <w:r>
        <w:rPr>
          <w:rFonts w:ascii="Times New Roman" w:hAnsi="Times New Roman"/>
          <w:color w:val="000000"/>
          <w:sz w:val="28"/>
        </w:rPr>
        <w:t xml:space="preserve">» в групповом исполнении под музыкальное сопровождение;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освоенные технические действия спортивных игр баскетбол, волейбол и футбол в условиях игровой деятельности;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686"/>
        <w:gridCol w:w="2739"/>
        <w:gridCol w:w="1496"/>
        <w:gridCol w:w="1840"/>
        <w:gridCol w:w="1909"/>
        <w:gridCol w:w="536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536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7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53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hyperlink r:id="rId9" w:tooltip="https://resh.edu.ru/subject/lesson/3593/start/194575/" w:history="1">
              <w:r>
                <w:rPr>
                  <w:rStyle w:val="652"/>
                  <w:rFonts w:ascii="Times New Roman" w:hAnsi="Times New Roman"/>
                  <w:sz w:val="24"/>
                </w:rPr>
                <w:t xml:space="preserve">https://resh.edu.ru/subject/lesson/3593/start/194575/</w:t>
              </w:r>
              <w:r>
                <w:rPr>
                  <w:rStyle w:val="652"/>
                  <w:rFonts w:ascii="Times New Roman" w:hAnsi="Times New Roman"/>
                  <w:sz w:val="24"/>
                </w:rPr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7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физическая 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53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7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предупреждения травм и оказание первой помощи при их возникновении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53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СОВЕРШЕНСТВОВАНИЕ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7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нарушения осанки и снижения массы тела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53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hyperlink r:id="rId10" w:tooltip="https://resh.edu.ru/subject/lesson/3593/start/194575/" w:history="1">
              <w:r>
                <w:rPr>
                  <w:rStyle w:val="652"/>
                  <w:rFonts w:ascii="Times New Roman" w:hAnsi="Times New Roman"/>
                  <w:sz w:val="24"/>
                </w:rPr>
                <w:t xml:space="preserve">https://resh.edu.ru/subject/lesson/3593/start/194575/</w:t>
              </w:r>
              <w:r>
                <w:rPr>
                  <w:rStyle w:val="652"/>
                  <w:rFonts w:ascii="Times New Roman" w:hAnsi="Times New Roman"/>
                  <w:sz w:val="24"/>
                </w:rPr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7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организма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53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hyperlink r:id="rId11" w:tooltip="https://resh.edu.ru/subject/lesson/6187/start/279146/" w:history="1">
              <w:r>
                <w:rPr>
                  <w:rStyle w:val="652"/>
                  <w:rFonts w:ascii="Times New Roman" w:hAnsi="Times New Roman"/>
                  <w:sz w:val="24"/>
                </w:rPr>
                <w:t xml:space="preserve">https://resh.edu.ru/subject/lesson/6187/start/279146/</w:t>
              </w:r>
              <w:r>
                <w:rPr>
                  <w:rStyle w:val="652"/>
                  <w:rFonts w:ascii="Times New Roman" w:hAnsi="Times New Roman"/>
                  <w:sz w:val="24"/>
                </w:rPr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Спортивно-оздоровительная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7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основами акробатики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53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7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Легкая атлетика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7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Лыжная 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7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Плавательная 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53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7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 спортивные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53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Прикладно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-ориентированная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7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требований комплекса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53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4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5369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r/>
    </w:p>
    <w:p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5433"/>
        <w:gridCol w:w="992"/>
        <w:gridCol w:w="1276"/>
        <w:gridCol w:w="1649"/>
        <w:gridCol w:w="1423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391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104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543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142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2221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на уроках физической культуры. Физические упражнения, их влияние на физическое развитие и развитие физических качеств. Из истории развития физической культуры в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 истории развития национальных видов спорта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физическая подготовка. Строевые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упр-ия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 построения в шеренгу, в колонну. Бег коротким, средним, длинным шагом.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занятий физической подготовкой на работу систем организма. Беговые упражнения. Бег с ускорением 20-30 м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годовой динамики показателей физического развития и физической подготовленности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предупреждения травм на уроках физической культуры.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бега на 30м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максимальной скоростью с высокого старта.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на занятиях физической культуры.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челночного бега 3х10м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нарушения осанки и снижения массы тела. Метание малого мяча на дальность.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на дальность. Прыжок в высоту с разбега способом перешагивания.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лёгкой  атлетики. Прыжок в высоту с разбега способом перешагивания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разбега способом перешагивания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tabs>
                <w:tab w:val="left" w:pos="42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выносливости, бег слабой интенсивности 1500 м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ТБ на уроках спортивных и подвижных игр. Ловля и передача мяча на месте и в движении в кругах, в треугольниках. Подвижная игра «Мяч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водящему». 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Олимпийские игры, их история. Закаливание и личная гигиена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мяча с изменением направления Игра «Мяч ловцу».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Ловля и передача мяча на месте. Игра «Передал - садись»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Ловля и передача мяча на месте в парах. Игра «Гонка мячей по кругу».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Бросок мяча двумя руками от груди и снизу в кольцо.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«Гонка мячей по кругу». «Передал – садись».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 элементами баскетбола.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по упрощённым правилам.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во время занятий гимнастикой Повороты на месте, налево и направо, кругом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 при выполнении гимнастических и акробатических упражнений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Акробатическая комбинация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Акробатическая комбинация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Опорный прыжок через гимнастического козла с разбега способом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напрыгивания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Опорный прыжок через гимнастического козла с разбега способом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напрыгивания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Поводящие упражнения для обучения опорному прыжку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Поводящие упражнения для обучения опорному прыжку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опорному прыжку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опорному прыжку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гимнастической перекладине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гимнастической перекладине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Висы и упоры на низкой гимнастической перекладине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«Летка-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енка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«Летка-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енка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Висы на перекладине. Лазание по канату в три приема.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Висы на перекладине. Лазание по канату в три приема.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Круговая тренировка. Упр. На развитие силы.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гимнастической скамейке, по бревну. 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гимнастической скамейке, по бревну. Гимнастическая полоса препятствий.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Гимнастическая полоса препятствий.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на координацию, ловкость, внимание.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 с элементами гимнастики.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лыжами. Выбор одежды и обуви для занятий на свежем воздухе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одновременным одношажным ходом: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подвижной игры «Запрещенное движение»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одновременным одношажным ходом: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одновременным одношажным ходом: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подвижной игры «Подвижная цель»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Горнолыжная подготовка: спуск в основной стойке, подъём «ёлочкой»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Горнолыжная подготовка: спуск в основной стойке, подъём «ёлочкой»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подвижной игры «Подвижная цель»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одновременным одношажным ходом с небольшого склона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одновременным одношажным ходом с небольшого склона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подвижной игры «Эстафета с ведением футбольного мяча»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одношажным одновременным ходом по фазам движения и в полной координации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одношажным одновременным ходом по фазам движения и в полной координации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Разучивание подвижной игры «Эстафета с ведением футбольного мяча»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Попеременный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двухшажный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ход.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Попеременный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двухшажный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ход. Игра «Салки на марше».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both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Разучивание подвижной игры «Паровая машина»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Повороты переступанием на месте и в движении. Эстафеты.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поворотов переступанием в движении.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Разучивание подвижной игры «Гонка лодок»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Торможение плугом и упором.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Торможение плугом и упором.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из игры волейбол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выносливости. Прохождение дистанции слабой, средней интенсивности до 2х км.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Повороты на месте.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из игры баскетбол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Лыжная эстафета.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 на лыжах.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выполнения спортивных нормативов 3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уроках. Здоровье и ЗОЖ. ГТО в наше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30м.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30м.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1000м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1000м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Кросс на 2 км.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Кросс на 2 км.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 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 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мяча весом 150г.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мяча весом 150г.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Челночный бег 3*10м.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Челночный бег 3*10м.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 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 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 «Большие гонки», посвященный ГТО и ЗОЖ, с соблюдением правил и техники выполнения испытаний (тестов) 3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4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54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 «Большие гонки», посвященный ГТО и ЗОЖ, с соблюдением правил и техники выполнения испытаний (тестов) 3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647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644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6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  <w:num w:numId="13">
    <w:abstractNumId w:val="0"/>
  </w:num>
  <w:num w:numId="14">
    <w:abstractNumId w:val="9"/>
  </w:num>
  <w:num w:numId="15">
    <w:abstractNumId w:val="1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37"/>
    <w:link w:val="63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37"/>
    <w:link w:val="63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37"/>
    <w:link w:val="63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37"/>
    <w:link w:val="636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37"/>
    <w:link w:val="649"/>
    <w:uiPriority w:val="10"/>
    <w:rPr>
      <w:sz w:val="48"/>
      <w:szCs w:val="48"/>
    </w:rPr>
  </w:style>
  <w:style w:type="character" w:styleId="36">
    <w:name w:val="Subtitle Char"/>
    <w:basedOn w:val="637"/>
    <w:link w:val="647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37"/>
    <w:link w:val="644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37"/>
    <w:link w:val="43"/>
    <w:uiPriority w:val="99"/>
  </w:style>
  <w:style w:type="character" w:styleId="46">
    <w:name w:val="Caption Char"/>
    <w:basedOn w:val="654"/>
    <w:link w:val="43"/>
    <w:uiPriority w:val="99"/>
  </w:style>
  <w:style w:type="table" w:styleId="48">
    <w:name w:val="Table Grid Light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7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7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qFormat/>
    <w:rPr>
      <w:rFonts w:eastAsiaTheme="minorEastAsia"/>
      <w:lang w:eastAsia="ru-RU"/>
    </w:rPr>
  </w:style>
  <w:style w:type="paragraph" w:styleId="633">
    <w:name w:val="Heading 1"/>
    <w:basedOn w:val="632"/>
    <w:next w:val="632"/>
    <w:link w:val="640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34">
    <w:name w:val="Heading 2"/>
    <w:basedOn w:val="632"/>
    <w:next w:val="632"/>
    <w:link w:val="641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35">
    <w:name w:val="Heading 3"/>
    <w:basedOn w:val="632"/>
    <w:next w:val="632"/>
    <w:link w:val="642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36">
    <w:name w:val="Heading 4"/>
    <w:basedOn w:val="632"/>
    <w:next w:val="632"/>
    <w:link w:val="643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character" w:styleId="640" w:customStyle="1">
    <w:name w:val="Заголовок 1 Знак"/>
    <w:basedOn w:val="637"/>
    <w:link w:val="63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641" w:customStyle="1">
    <w:name w:val="Заголовок 2 Знак"/>
    <w:basedOn w:val="637"/>
    <w:link w:val="63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642" w:customStyle="1">
    <w:name w:val="Заголовок 3 Знак"/>
    <w:basedOn w:val="637"/>
    <w:link w:val="635"/>
    <w:uiPriority w:val="9"/>
    <w:rPr>
      <w:rFonts w:asciiTheme="majorHAnsi" w:hAnsiTheme="majorHAnsi" w:eastAsiaTheme="majorEastAsia" w:cstheme="majorBidi"/>
      <w:b/>
      <w:bCs/>
      <w:color w:val="4f81bd" w:themeColor="accent1"/>
      <w:lang w:eastAsia="ru-RU"/>
    </w:rPr>
  </w:style>
  <w:style w:type="character" w:styleId="643" w:customStyle="1">
    <w:name w:val="Заголовок 4 Знак"/>
    <w:basedOn w:val="637"/>
    <w:link w:val="636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lang w:eastAsia="ru-RU"/>
    </w:rPr>
  </w:style>
  <w:style w:type="paragraph" w:styleId="644">
    <w:name w:val="Header"/>
    <w:basedOn w:val="632"/>
    <w:link w:val="645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45" w:customStyle="1">
    <w:name w:val="Верхний колонтитул Знак"/>
    <w:basedOn w:val="637"/>
    <w:link w:val="644"/>
    <w:uiPriority w:val="99"/>
    <w:rPr>
      <w:rFonts w:eastAsiaTheme="minorEastAsia"/>
      <w:lang w:eastAsia="ru-RU"/>
    </w:rPr>
  </w:style>
  <w:style w:type="paragraph" w:styleId="646">
    <w:name w:val="Normal Indent"/>
    <w:basedOn w:val="632"/>
    <w:uiPriority w:val="99"/>
    <w:unhideWhenUsed/>
    <w:pPr>
      <w:ind w:left="720"/>
    </w:pPr>
  </w:style>
  <w:style w:type="paragraph" w:styleId="647">
    <w:name w:val="Subtitle"/>
    <w:basedOn w:val="632"/>
    <w:next w:val="632"/>
    <w:link w:val="648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48" w:customStyle="1">
    <w:name w:val="Подзаголовок Знак"/>
    <w:basedOn w:val="637"/>
    <w:link w:val="647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649">
    <w:name w:val="Title"/>
    <w:basedOn w:val="632"/>
    <w:next w:val="632"/>
    <w:link w:val="650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50" w:customStyle="1">
    <w:name w:val="Название Знак"/>
    <w:basedOn w:val="637"/>
    <w:link w:val="649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  <w:lang w:eastAsia="ru-RU"/>
    </w:rPr>
  </w:style>
  <w:style w:type="character" w:styleId="651">
    <w:name w:val="Emphasis"/>
    <w:basedOn w:val="637"/>
    <w:uiPriority w:val="20"/>
    <w:qFormat/>
    <w:rPr>
      <w:i/>
      <w:iCs/>
    </w:rPr>
  </w:style>
  <w:style w:type="character" w:styleId="652">
    <w:name w:val="Hyperlink"/>
    <w:basedOn w:val="637"/>
    <w:uiPriority w:val="99"/>
    <w:unhideWhenUsed/>
    <w:rPr>
      <w:color w:val="0000ff" w:themeColor="hyperlink"/>
      <w:u w:val="single"/>
    </w:rPr>
  </w:style>
  <w:style w:type="table" w:styleId="653">
    <w:name w:val="Table Grid"/>
    <w:basedOn w:val="638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54">
    <w:name w:val="Caption"/>
    <w:basedOn w:val="632"/>
    <w:next w:val="632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resh.edu.ru/subject/lesson/3593/start/194575/" TargetMode="External"/><Relationship Id="rId10" Type="http://schemas.openxmlformats.org/officeDocument/2006/relationships/hyperlink" Target="https://resh.edu.ru/subject/lesson/3593/start/194575/" TargetMode="External"/><Relationship Id="rId11" Type="http://schemas.openxmlformats.org/officeDocument/2006/relationships/hyperlink" Target="https://resh.edu.ru/subject/lesson/6187/start/279146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maia201999@outlook.com</dc:creator>
  <cp:revision>4</cp:revision>
  <dcterms:created xsi:type="dcterms:W3CDTF">2023-08-31T04:25:00Z</dcterms:created>
  <dcterms:modified xsi:type="dcterms:W3CDTF">2023-08-31T11:41:25Z</dcterms:modified>
</cp:coreProperties>
</file>